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工业机器人比赛说明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bookmarkStart w:id="0" w:name="_Toc374371160"/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大赛平台采用北京博创智联工业机器人工作站，集成工业机器人全部工作职能，大赛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使用</w:t>
      </w:r>
      <w:r>
        <w:rPr>
          <w:rFonts w:hint="eastAsia" w:asciiTheme="minorEastAsia" w:hAnsiTheme="minorEastAsia" w:eastAsiaTheme="minorEastAsia"/>
          <w:sz w:val="28"/>
          <w:szCs w:val="28"/>
        </w:rPr>
        <w:t>专门设计的比赛模块，具体说明如下：</w:t>
      </w:r>
    </w:p>
    <w:p>
      <w:pPr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</w:rPr>
        <w:t>一、参赛条件</w:t>
      </w:r>
      <w:bookmarkEnd w:id="0"/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  <w:lang w:val="en-US" w:eastAsia="zh-CN"/>
        </w:rPr>
        <w:t xml:space="preserve"> </w:t>
      </w:r>
      <w:bookmarkStart w:id="1" w:name="_GoBack"/>
      <w:bookmarkEnd w:id="1"/>
    </w:p>
    <w:p>
      <w:pPr>
        <w:spacing w:line="360" w:lineRule="auto"/>
        <w:ind w:left="1637" w:leftChars="200" w:hanging="1217" w:hangingChars="433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1、</w:t>
      </w:r>
      <w:r>
        <w:rPr>
          <w:rFonts w:asciiTheme="minorEastAsia" w:hAnsiTheme="minorEastAsia" w:eastAsiaTheme="minorEastAsia"/>
          <w:b/>
          <w:sz w:val="28"/>
          <w:szCs w:val="28"/>
        </w:rPr>
        <w:t>参赛单位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</w:p>
    <w:p>
      <w:pPr>
        <w:spacing w:line="360" w:lineRule="auto"/>
        <w:ind w:left="1632" w:leftChars="200" w:hanging="1212" w:hangingChars="433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以学校</w:t>
      </w:r>
      <w:r>
        <w:rPr>
          <w:rFonts w:hint="eastAsia" w:asciiTheme="minorEastAsia" w:hAnsiTheme="minorEastAsia" w:eastAsiaTheme="minorEastAsia"/>
          <w:sz w:val="28"/>
          <w:szCs w:val="28"/>
        </w:rPr>
        <w:t>或学院</w:t>
      </w:r>
      <w:r>
        <w:rPr>
          <w:rFonts w:asciiTheme="minorEastAsia" w:hAnsiTheme="minorEastAsia" w:eastAsiaTheme="minorEastAsia"/>
          <w:sz w:val="28"/>
          <w:szCs w:val="28"/>
        </w:rPr>
        <w:t>为基本参赛单位，</w:t>
      </w:r>
      <w:r>
        <w:rPr>
          <w:rFonts w:hint="eastAsia" w:asciiTheme="minorEastAsia" w:hAnsiTheme="minorEastAsia" w:eastAsiaTheme="minorEastAsia"/>
          <w:sz w:val="28"/>
          <w:szCs w:val="28"/>
        </w:rPr>
        <w:t>统一报名、邮寄资料和参赛</w:t>
      </w:r>
      <w:r>
        <w:rPr>
          <w:rFonts w:asciiTheme="minorEastAsia" w:hAnsiTheme="minorEastAsia" w:eastAsiaTheme="minorEastAsia"/>
          <w:sz w:val="28"/>
          <w:szCs w:val="28"/>
        </w:rPr>
        <w:t>。</w:t>
      </w:r>
    </w:p>
    <w:p>
      <w:pPr>
        <w:ind w:firstLine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2、</w:t>
      </w:r>
      <w:r>
        <w:rPr>
          <w:rFonts w:asciiTheme="minorEastAsia" w:hAnsiTheme="minorEastAsia" w:eastAsiaTheme="minorEastAsia"/>
          <w:b/>
          <w:sz w:val="28"/>
          <w:szCs w:val="28"/>
        </w:rPr>
        <w:t>参赛队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员：</w:t>
      </w:r>
      <w:r>
        <w:rPr>
          <w:rFonts w:asciiTheme="minorEastAsia" w:hAnsiTheme="minorEastAsia" w:eastAsiaTheme="minorEastAsia"/>
          <w:sz w:val="28"/>
          <w:szCs w:val="28"/>
        </w:rPr>
        <w:t>具有正式学籍的全日制在校本、专科生均有资格报名参赛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  <w:r>
        <w:rPr>
          <w:rFonts w:asciiTheme="minorEastAsia" w:hAnsiTheme="minorEastAsia" w:eastAsiaTheme="minorEastAsia"/>
          <w:sz w:val="28"/>
          <w:szCs w:val="28"/>
        </w:rPr>
        <w:t>每支参赛队</w:t>
      </w:r>
      <w:r>
        <w:rPr>
          <w:rFonts w:hint="eastAsia" w:asciiTheme="minorEastAsia" w:hAnsiTheme="minorEastAsia" w:eastAsiaTheme="minorEastAsia"/>
          <w:sz w:val="28"/>
          <w:szCs w:val="28"/>
        </w:rPr>
        <w:t>最多三名队员组队。</w:t>
      </w:r>
    </w:p>
    <w:p>
      <w:pPr>
        <w:ind w:firstLine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3、指</w:t>
      </w:r>
      <w:r>
        <w:rPr>
          <w:rFonts w:asciiTheme="minorEastAsia" w:hAnsiTheme="minorEastAsia" w:eastAsiaTheme="minorEastAsia"/>
          <w:b/>
          <w:sz w:val="28"/>
          <w:szCs w:val="28"/>
        </w:rPr>
        <w:t>导教师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每支队伍不超过2名指导教师，每位老师指导的队伍不超过3支。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</w:rPr>
        <w:t>二、比赛流程</w:t>
      </w:r>
    </w:p>
    <w:p>
      <w:pPr>
        <w:spacing w:line="360" w:lineRule="auto"/>
        <w:ind w:firstLine="560" w:firstLineChars="200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1、比赛现场，各队按编号依次进行比赛。</w:t>
      </w:r>
    </w:p>
    <w:p>
      <w:pPr>
        <w:spacing w:line="360" w:lineRule="auto"/>
        <w:ind w:firstLine="560" w:firstLineChars="200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2、各队需要在指定时间内完成“穿越火线走轨迹”与“定型码垛”任务。评委根据评分标准对任务完成度进行相关分数判定、核算。按最终核算分数进行排名。</w:t>
      </w:r>
    </w:p>
    <w:p>
      <w:pPr>
        <w:numPr>
          <w:ilvl w:val="-1"/>
          <w:numId w:val="0"/>
        </w:numPr>
        <w:spacing w:line="360" w:lineRule="auto"/>
        <w:ind w:left="0" w:firstLine="0" w:firstLineChars="0"/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  <w:lang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</w:rPr>
        <w:t>比赛</w:t>
      </w: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  <w:lang w:eastAsia="zh-CN"/>
        </w:rPr>
        <w:t>内容</w:t>
      </w:r>
      <w:r>
        <w:rPr>
          <w:rFonts w:hint="eastAsia" w:asciiTheme="minorEastAsia" w:hAnsiTheme="minorEastAsia" w:eastAsiaTheme="minorEastAsia"/>
          <w:b/>
          <w:bCs/>
          <w:kern w:val="0"/>
          <w:sz w:val="36"/>
          <w:szCs w:val="36"/>
        </w:rPr>
        <w:t>详细说明</w:t>
      </w:r>
    </w:p>
    <w:p>
      <w:pPr>
        <w:spacing w:line="360" w:lineRule="auto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1、穿越火线走轨迹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（1）任务要求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大赛平台上面摆放带有凹槽的金属图形板，参赛者需要在限定时间内完成以下两项任务。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第一、使用钢针完成工具坐标的新建。新建的工具坐标的原点定义在工具尖端， Z 轴方向和与工具伸出的方向一致。建立完成后由裁判查看标定误差，确认后继续之后的比赛。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第二、通过示教，使机器人携带钢针在限定时间内成功穿过金属板凹槽。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（2）操作步骤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参赛者在大赛显示器上面选择学校编号，点击计时开始。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倒计时开始后，参赛者对机器人进行示教编程，让机器人能够平稳安全的通过金属板凹槽。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示教完成后需要将程序名字改写为指定名称《穿越火线》。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参赛者在大赛显示器上选择比赛开始，机器人会自动运行《穿越火线》的程序，系统会自动检测钢针与金属板有无碰撞。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连续10次碰撞或者碰撞时间累计一秒钟视为游戏结束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成功完成任务后，参赛者点击成绩上传即完成比赛。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（3）评分标准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比赛分为两个环节，第一环节完成后示教器停留在误差确认界面，此时由裁判记录标定误差，记录完毕后继续进行下一环节。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程序调试完毕后能够完整连贯运行，调试和运行过程中不得与其他设备发生撞击。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评分细则如下：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3827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序号</w:t>
            </w:r>
          </w:p>
        </w:tc>
        <w:tc>
          <w:tcPr>
            <w:tcW w:w="3119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比赛内容</w:t>
            </w:r>
          </w:p>
        </w:tc>
        <w:tc>
          <w:tcPr>
            <w:tcW w:w="382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考核标准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使用6点法实现工具的标定</w:t>
            </w:r>
          </w:p>
        </w:tc>
        <w:tc>
          <w:tcPr>
            <w:tcW w:w="3827" w:type="dxa"/>
            <w:vAlign w:val="center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操作是否规范、熟练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2</w:t>
            </w:r>
          </w:p>
        </w:tc>
        <w:tc>
          <w:tcPr>
            <w:tcW w:w="3119" w:type="dxa"/>
            <w:vMerge w:val="continue"/>
          </w:tcPr>
          <w:p>
            <w:pPr>
              <w:spacing w:line="400" w:lineRule="exact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标定误差越小分值越高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钢针与图形板碰撞次数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碰撞一次扣一分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钢针与图形版碰撞时间累积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超过一秒算失败，扣10分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5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机器人运行轨迹路线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平滑平稳高速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6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机器人操作熟练程度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是否与其他设备发生碰撞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7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程序编写质量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程序编写简洁程度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8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完成总时间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倒计时结束剩余时间转为分数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</w:t>
            </w:r>
          </w:p>
        </w:tc>
        <w:tc>
          <w:tcPr>
            <w:tcW w:w="3119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试教编程事故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机器人与外围设备等有无重大撞击</w:t>
            </w:r>
          </w:p>
        </w:tc>
        <w:tc>
          <w:tcPr>
            <w:tcW w:w="759" w:type="dxa"/>
          </w:tcPr>
          <w:p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10</w:t>
            </w:r>
          </w:p>
        </w:tc>
      </w:tr>
    </w:tbl>
    <w:p/>
    <w:p>
      <w:pPr>
        <w:spacing w:line="360" w:lineRule="auto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2、固定形状码垛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（1）任务要求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在上料机构的料仓内有若干25*25*65mm的亚克力块，参赛者需要在限定时间内完成以下两项任务。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第一、完成码垛工具的标定，使用示教锥完成工具坐标的新建。新建的工具坐标的原点定义在工具尖端， Z 轴方向和与工具伸出的方向一致。建立完成后由裁判查看标定误差，确认后继续之后的比赛。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第二、完成码垛任务，比赛指定跺型，参赛者利用示教器现场编程，通过程序的IO信号完成快换的吸合与分离、控制上料机构、控制真空的开闭。最终完成整个码垛程序的编程，按照要求完成码垛任务。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（2）跺型公布</w:t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drawing>
          <wp:inline distT="0" distB="0" distL="114300" distR="114300">
            <wp:extent cx="2480945" cy="1799590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rPr>
          <w:b/>
          <w:sz w:val="28"/>
        </w:rPr>
      </w:pPr>
      <w:r>
        <w:rPr>
          <w:rFonts w:hint="eastAsia"/>
          <w:b/>
          <w:sz w:val="28"/>
        </w:rPr>
        <w:t>（3）评分标准</w:t>
      </w:r>
    </w:p>
    <w:p>
      <w:pPr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/>
        </w:rPr>
        <w:tab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比赛分为两个环节，第一环节完成后示教器停留在误差确认界面，此时由裁判记录标定误差，记录完毕后继续进行下一环节。</w:t>
      </w:r>
    </w:p>
    <w:p>
      <w:pPr>
        <w:ind w:firstLine="560" w:firstLineChars="200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ab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程序调试完毕后能够完整连贯运行，调试和运行过程中不得与其他设备发生撞击。</w:t>
      </w: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评分细则如下：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2977"/>
        <w:gridCol w:w="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比赛内容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考核标准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使用6点法实现工具的标定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操作是否规范、熟练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Merge w:val="continue"/>
          </w:tcPr>
          <w:p/>
        </w:tc>
        <w:tc>
          <w:tcPr>
            <w:tcW w:w="2977" w:type="dxa"/>
          </w:tcPr>
          <w:p>
            <w:r>
              <w:rPr>
                <w:rFonts w:hint="eastAsia"/>
              </w:rPr>
              <w:t>标定误差越小分值越高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快换工具的抓取（快换吸合）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是否成功吸合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控制上料机构上料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能否顺利的实现上料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亚克力块的拾取与放置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是否能够顺利实现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机器人运行轨迹与节拍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是否连贯顺畅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码垛的跺形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是否符合要求（美观整齐）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机器人操作熟练程度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是否发生撞击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程序编写质量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程序编写简洁程度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完成总时间</w:t>
            </w:r>
          </w:p>
        </w:tc>
        <w:tc>
          <w:tcPr>
            <w:tcW w:w="2977" w:type="dxa"/>
          </w:tcPr>
          <w:p>
            <w:r>
              <w:rPr>
                <w:rFonts w:hint="eastAsia"/>
              </w:rPr>
              <w:t>完成效率比较</w:t>
            </w:r>
          </w:p>
        </w:tc>
        <w:tc>
          <w:tcPr>
            <w:tcW w:w="759" w:type="dxa"/>
          </w:tcPr>
          <w:p>
            <w:r>
              <w:rPr>
                <w:rFonts w:hint="eastAsia"/>
              </w:rPr>
              <w:t>10</w:t>
            </w:r>
          </w:p>
        </w:tc>
      </w:tr>
    </w:tbl>
    <w:p/>
    <w:p>
      <w:pPr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77A"/>
    <w:rsid w:val="0000618F"/>
    <w:rsid w:val="00050883"/>
    <w:rsid w:val="00066351"/>
    <w:rsid w:val="0007577A"/>
    <w:rsid w:val="000B2FC5"/>
    <w:rsid w:val="000C52DF"/>
    <w:rsid w:val="000D2697"/>
    <w:rsid w:val="00105A8B"/>
    <w:rsid w:val="00125717"/>
    <w:rsid w:val="00130794"/>
    <w:rsid w:val="0022686D"/>
    <w:rsid w:val="0025123A"/>
    <w:rsid w:val="00261A33"/>
    <w:rsid w:val="00296632"/>
    <w:rsid w:val="002978DC"/>
    <w:rsid w:val="002A15EF"/>
    <w:rsid w:val="002A5FC4"/>
    <w:rsid w:val="002C55D4"/>
    <w:rsid w:val="002E4B5B"/>
    <w:rsid w:val="00334CC7"/>
    <w:rsid w:val="00351EAC"/>
    <w:rsid w:val="00363AD9"/>
    <w:rsid w:val="0037291D"/>
    <w:rsid w:val="003C4C27"/>
    <w:rsid w:val="003E0921"/>
    <w:rsid w:val="003E7BFA"/>
    <w:rsid w:val="003E7F71"/>
    <w:rsid w:val="004032A2"/>
    <w:rsid w:val="00406607"/>
    <w:rsid w:val="004123BB"/>
    <w:rsid w:val="00412768"/>
    <w:rsid w:val="00455966"/>
    <w:rsid w:val="004C6E2B"/>
    <w:rsid w:val="004F3A2D"/>
    <w:rsid w:val="005407C7"/>
    <w:rsid w:val="0054628B"/>
    <w:rsid w:val="00570421"/>
    <w:rsid w:val="00572353"/>
    <w:rsid w:val="00577D7D"/>
    <w:rsid w:val="005B3167"/>
    <w:rsid w:val="005C3DA7"/>
    <w:rsid w:val="00641B1E"/>
    <w:rsid w:val="00654034"/>
    <w:rsid w:val="0066430B"/>
    <w:rsid w:val="006776FB"/>
    <w:rsid w:val="00697430"/>
    <w:rsid w:val="006977EC"/>
    <w:rsid w:val="006B79B7"/>
    <w:rsid w:val="006D189B"/>
    <w:rsid w:val="006D19B0"/>
    <w:rsid w:val="006D3853"/>
    <w:rsid w:val="006D427C"/>
    <w:rsid w:val="006F15E6"/>
    <w:rsid w:val="00714708"/>
    <w:rsid w:val="00717FB3"/>
    <w:rsid w:val="00740E31"/>
    <w:rsid w:val="00776845"/>
    <w:rsid w:val="00820AB3"/>
    <w:rsid w:val="00846475"/>
    <w:rsid w:val="0084720E"/>
    <w:rsid w:val="008975FE"/>
    <w:rsid w:val="008A66F0"/>
    <w:rsid w:val="008E16B7"/>
    <w:rsid w:val="008F0398"/>
    <w:rsid w:val="00905837"/>
    <w:rsid w:val="009067F2"/>
    <w:rsid w:val="009154EC"/>
    <w:rsid w:val="009341E9"/>
    <w:rsid w:val="00934F42"/>
    <w:rsid w:val="0096657C"/>
    <w:rsid w:val="00987480"/>
    <w:rsid w:val="009D242F"/>
    <w:rsid w:val="00A14503"/>
    <w:rsid w:val="00A37DEC"/>
    <w:rsid w:val="00A46E1E"/>
    <w:rsid w:val="00A572D6"/>
    <w:rsid w:val="00A57E00"/>
    <w:rsid w:val="00AC7540"/>
    <w:rsid w:val="00AE28FD"/>
    <w:rsid w:val="00AF748F"/>
    <w:rsid w:val="00B12423"/>
    <w:rsid w:val="00B548DD"/>
    <w:rsid w:val="00B5753A"/>
    <w:rsid w:val="00B70D3E"/>
    <w:rsid w:val="00B84A89"/>
    <w:rsid w:val="00BF426C"/>
    <w:rsid w:val="00C35B73"/>
    <w:rsid w:val="00C47015"/>
    <w:rsid w:val="00C61AFC"/>
    <w:rsid w:val="00C61BA2"/>
    <w:rsid w:val="00C86A59"/>
    <w:rsid w:val="00C94B6A"/>
    <w:rsid w:val="00D109B6"/>
    <w:rsid w:val="00D17018"/>
    <w:rsid w:val="00D3027A"/>
    <w:rsid w:val="00D43EB1"/>
    <w:rsid w:val="00D646EA"/>
    <w:rsid w:val="00E11744"/>
    <w:rsid w:val="00E95939"/>
    <w:rsid w:val="00F0215F"/>
    <w:rsid w:val="00F20F95"/>
    <w:rsid w:val="00F40B2E"/>
    <w:rsid w:val="00F57652"/>
    <w:rsid w:val="00F604BE"/>
    <w:rsid w:val="00F62949"/>
    <w:rsid w:val="00F65E30"/>
    <w:rsid w:val="00F76723"/>
    <w:rsid w:val="00F912A4"/>
    <w:rsid w:val="00F973A4"/>
    <w:rsid w:val="00FB288F"/>
    <w:rsid w:val="01383DD9"/>
    <w:rsid w:val="1AB245AB"/>
    <w:rsid w:val="289F0BD9"/>
    <w:rsid w:val="3A9D3C61"/>
    <w:rsid w:val="415E2A1E"/>
    <w:rsid w:val="55AE599C"/>
    <w:rsid w:val="786066AF"/>
    <w:rsid w:val="7E4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副标题 Char"/>
    <w:basedOn w:val="9"/>
    <w:link w:val="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9">
    <w:name w:val="标题 Char"/>
    <w:basedOn w:val="9"/>
    <w:link w:val="8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标题 Char1"/>
    <w:basedOn w:val="9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1">
    <w:name w:val="标题 3 Char"/>
    <w:basedOn w:val="9"/>
    <w:link w:val="3"/>
    <w:qFormat/>
    <w:uiPriority w:val="0"/>
    <w:rPr>
      <w:b/>
      <w:bCs/>
      <w:sz w:val="32"/>
      <w:szCs w:val="32"/>
    </w:rPr>
  </w:style>
  <w:style w:type="paragraph" w:customStyle="1" w:styleId="22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Theme="minorHAnsi" w:hAnsiTheme="minorHAnsi" w:eastAsiaTheme="minorEastAsia" w:cstheme="minorBid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8961EE-728C-4A11-91CD-92AAD3A7A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247</Words>
  <Characters>1409</Characters>
  <Lines>11</Lines>
  <Paragraphs>3</Paragraphs>
  <ScaleCrop>false</ScaleCrop>
  <LinksUpToDate>false</LinksUpToDate>
  <CharactersWithSpaces>1653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2018-01-03T06:17:00Z</dcterms:created>
  <dc:creator>微软用户</dc:creator>
  <cp:lastModifiedBy>落渱色</cp:lastModifiedBy>
  <dcterms:modified xsi:type="dcterms:W3CDTF">2018-01-04T03:41:29Z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