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after="240" w:line="560" w:lineRule="exact"/>
        <w:jc w:val="left"/>
        <w:rPr>
          <w:rFonts w:ascii="方正小标宋简体" w:eastAsia="方正小标宋简体"/>
          <w:sz w:val="36"/>
          <w:szCs w:val="36"/>
        </w:rPr>
      </w:pPr>
      <w:r>
        <w:rPr>
          <w:rFonts w:hint="eastAsia" w:ascii="方正小标宋简体" w:eastAsia="方正小标宋简体"/>
          <w:sz w:val="36"/>
          <w:szCs w:val="36"/>
        </w:rPr>
        <w:t xml:space="preserve">附件：                </w:t>
      </w:r>
      <w:r>
        <w:rPr>
          <w:rFonts w:ascii="方正小标宋简体" w:eastAsia="方正小标宋简体"/>
          <w:sz w:val="36"/>
          <w:szCs w:val="36"/>
        </w:rPr>
        <w:t xml:space="preserve">  </w:t>
      </w:r>
      <w:r>
        <w:rPr>
          <w:rFonts w:hint="eastAsia" w:ascii="方正小标宋简体" w:eastAsia="方正小标宋简体"/>
          <w:sz w:val="36"/>
          <w:szCs w:val="36"/>
          <w:lang w:val="en-US" w:eastAsia="zh-CN"/>
        </w:rPr>
        <w:t>2021</w:t>
      </w:r>
      <w:r>
        <w:rPr>
          <w:rFonts w:hint="eastAsia" w:ascii="方正小标宋简体" w:eastAsia="方正小标宋简体"/>
          <w:sz w:val="36"/>
          <w:szCs w:val="36"/>
        </w:rPr>
        <w:t>年产学合作协同育人项目简介</w:t>
      </w:r>
    </w:p>
    <w:p>
      <w:pPr>
        <w:pStyle w:val="11"/>
        <w:spacing w:after="240" w:line="560" w:lineRule="exact"/>
        <w:jc w:val="left"/>
        <w:rPr>
          <w:rFonts w:ascii="方正小标宋简体" w:eastAsia="方正小标宋简体"/>
          <w:sz w:val="36"/>
          <w:szCs w:val="36"/>
        </w:rPr>
      </w:pPr>
    </w:p>
    <w:tbl>
      <w:tblPr>
        <w:tblStyle w:val="7"/>
        <w:tblW w:w="14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817"/>
        <w:gridCol w:w="5445"/>
        <w:gridCol w:w="1122"/>
        <w:gridCol w:w="1300"/>
        <w:gridCol w:w="1645"/>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pPr>
              <w:pStyle w:val="11"/>
              <w:jc w:val="center"/>
              <w:rPr>
                <w:rFonts w:ascii="仿宋_GB2312" w:eastAsia="仿宋_GB2312"/>
                <w:b/>
              </w:rPr>
            </w:pPr>
            <w:r>
              <w:rPr>
                <w:rFonts w:hint="eastAsia" w:ascii="仿宋_GB2312" w:eastAsia="仿宋_GB2312"/>
                <w:b/>
              </w:rPr>
              <w:t>企业名称</w:t>
            </w:r>
          </w:p>
        </w:tc>
        <w:tc>
          <w:tcPr>
            <w:tcW w:w="1817" w:type="dxa"/>
            <w:vAlign w:val="center"/>
          </w:tcPr>
          <w:p>
            <w:pPr>
              <w:pStyle w:val="11"/>
              <w:jc w:val="center"/>
              <w:rPr>
                <w:rFonts w:ascii="仿宋_GB2312" w:eastAsia="仿宋_GB2312"/>
                <w:b/>
              </w:rPr>
            </w:pPr>
            <w:r>
              <w:rPr>
                <w:rFonts w:hint="eastAsia" w:ascii="仿宋_GB2312" w:eastAsia="仿宋_GB2312"/>
                <w:b/>
              </w:rPr>
              <w:t>项目</w:t>
            </w:r>
            <w:r>
              <w:rPr>
                <w:rFonts w:ascii="仿宋_GB2312" w:eastAsia="仿宋_GB2312"/>
                <w:b/>
              </w:rPr>
              <w:t>类型</w:t>
            </w:r>
          </w:p>
        </w:tc>
        <w:tc>
          <w:tcPr>
            <w:tcW w:w="5445" w:type="dxa"/>
            <w:vAlign w:val="center"/>
          </w:tcPr>
          <w:p>
            <w:pPr>
              <w:pStyle w:val="11"/>
              <w:jc w:val="center"/>
              <w:rPr>
                <w:rFonts w:ascii="仿宋_GB2312" w:eastAsia="仿宋_GB2312"/>
                <w:b/>
              </w:rPr>
            </w:pPr>
            <w:r>
              <w:rPr>
                <w:rFonts w:hint="eastAsia" w:ascii="仿宋_GB2312" w:eastAsia="仿宋_GB2312"/>
                <w:b/>
              </w:rPr>
              <w:t>项目</w:t>
            </w:r>
            <w:r>
              <w:rPr>
                <w:rFonts w:ascii="仿宋_GB2312" w:eastAsia="仿宋_GB2312"/>
                <w:b/>
              </w:rPr>
              <w:t>简介</w:t>
            </w:r>
          </w:p>
        </w:tc>
        <w:tc>
          <w:tcPr>
            <w:tcW w:w="1122" w:type="dxa"/>
            <w:vAlign w:val="center"/>
          </w:tcPr>
          <w:p>
            <w:pPr>
              <w:pStyle w:val="11"/>
              <w:jc w:val="center"/>
              <w:rPr>
                <w:rFonts w:ascii="仿宋_GB2312" w:eastAsia="仿宋_GB2312"/>
                <w:b/>
              </w:rPr>
            </w:pPr>
            <w:r>
              <w:rPr>
                <w:rFonts w:ascii="仿宋_GB2312" w:eastAsia="仿宋_GB2312"/>
                <w:b/>
              </w:rPr>
              <w:t>项目数</w:t>
            </w:r>
          </w:p>
        </w:tc>
        <w:tc>
          <w:tcPr>
            <w:tcW w:w="1300" w:type="dxa"/>
            <w:vAlign w:val="center"/>
          </w:tcPr>
          <w:p>
            <w:pPr>
              <w:pStyle w:val="11"/>
              <w:jc w:val="center"/>
              <w:rPr>
                <w:rFonts w:ascii="仿宋_GB2312" w:eastAsia="仿宋_GB2312"/>
                <w:b/>
              </w:rPr>
            </w:pPr>
            <w:r>
              <w:rPr>
                <w:rFonts w:hint="eastAsia" w:ascii="仿宋_GB2312" w:eastAsia="仿宋_GB2312"/>
                <w:b/>
              </w:rPr>
              <w:t>每项资助总</w:t>
            </w:r>
            <w:r>
              <w:rPr>
                <w:rFonts w:ascii="仿宋_GB2312" w:eastAsia="仿宋_GB2312"/>
                <w:b/>
              </w:rPr>
              <w:t>金额</w:t>
            </w:r>
          </w:p>
          <w:p>
            <w:pPr>
              <w:pStyle w:val="11"/>
              <w:jc w:val="center"/>
              <w:rPr>
                <w:rFonts w:ascii="仿宋_GB2312" w:eastAsia="仿宋_GB2312"/>
                <w:b/>
              </w:rPr>
            </w:pPr>
            <w:r>
              <w:rPr>
                <w:rFonts w:ascii="仿宋_GB2312" w:eastAsia="仿宋_GB2312"/>
                <w:b/>
              </w:rPr>
              <w:t>（</w:t>
            </w:r>
            <w:r>
              <w:rPr>
                <w:rFonts w:hint="eastAsia" w:ascii="仿宋_GB2312" w:eastAsia="仿宋_GB2312"/>
                <w:b/>
              </w:rPr>
              <w:t>万元</w:t>
            </w:r>
            <w:r>
              <w:rPr>
                <w:rFonts w:ascii="仿宋_GB2312" w:eastAsia="仿宋_GB2312"/>
                <w:b/>
              </w:rPr>
              <w:t>）</w:t>
            </w:r>
          </w:p>
        </w:tc>
        <w:tc>
          <w:tcPr>
            <w:tcW w:w="1645" w:type="dxa"/>
            <w:vAlign w:val="center"/>
          </w:tcPr>
          <w:p>
            <w:pPr>
              <w:pStyle w:val="11"/>
              <w:jc w:val="center"/>
              <w:rPr>
                <w:rFonts w:ascii="仿宋_GB2312" w:eastAsia="仿宋_GB2312"/>
                <w:b/>
              </w:rPr>
            </w:pPr>
            <w:r>
              <w:rPr>
                <w:rFonts w:hint="eastAsia" w:ascii="仿宋_GB2312" w:eastAsia="仿宋_GB2312"/>
                <w:b/>
              </w:rPr>
              <w:t>每项</w:t>
            </w:r>
            <w:r>
              <w:rPr>
                <w:rFonts w:ascii="仿宋_GB2312" w:eastAsia="仿宋_GB2312"/>
                <w:b/>
              </w:rPr>
              <w:t>软件设备</w:t>
            </w:r>
          </w:p>
          <w:p>
            <w:pPr>
              <w:pStyle w:val="11"/>
              <w:jc w:val="center"/>
              <w:rPr>
                <w:rFonts w:ascii="仿宋_GB2312" w:eastAsia="仿宋_GB2312"/>
                <w:b/>
              </w:rPr>
            </w:pPr>
            <w:r>
              <w:rPr>
                <w:rFonts w:ascii="仿宋_GB2312" w:eastAsia="仿宋_GB2312"/>
                <w:b/>
              </w:rPr>
              <w:t>价值（</w:t>
            </w:r>
            <w:r>
              <w:rPr>
                <w:rFonts w:hint="eastAsia" w:ascii="仿宋_GB2312" w:eastAsia="仿宋_GB2312"/>
                <w:b/>
              </w:rPr>
              <w:t>万元</w:t>
            </w:r>
            <w:r>
              <w:rPr>
                <w:rFonts w:ascii="仿宋_GB2312" w:eastAsia="仿宋_GB2312"/>
                <w:b/>
              </w:rPr>
              <w:t>）</w:t>
            </w:r>
          </w:p>
        </w:tc>
        <w:tc>
          <w:tcPr>
            <w:tcW w:w="2037" w:type="dxa"/>
            <w:vAlign w:val="center"/>
          </w:tcPr>
          <w:p>
            <w:pPr>
              <w:pStyle w:val="11"/>
              <w:jc w:val="center"/>
              <w:rPr>
                <w:rFonts w:ascii="仿宋_GB2312" w:eastAsia="仿宋_GB2312"/>
                <w:b/>
              </w:rPr>
            </w:pPr>
            <w:r>
              <w:rPr>
                <w:rFonts w:hint="eastAsia" w:ascii="仿宋_GB2312" w:eastAsia="仿宋_GB2312"/>
                <w:b/>
              </w:rPr>
              <w:t>指南</w:t>
            </w:r>
            <w:r>
              <w:rPr>
                <w:rFonts w:ascii="仿宋_GB2312" w:eastAsia="仿宋_GB2312"/>
                <w:b/>
              </w:rPr>
              <w:t>发布</w:t>
            </w:r>
            <w:r>
              <w:rPr>
                <w:rFonts w:hint="eastAsia" w:ascii="仿宋_GB2312" w:eastAsia="仿宋_GB2312"/>
                <w:b/>
              </w:rPr>
              <w:t>网址</w:t>
            </w:r>
            <w:r>
              <w:rPr>
                <w:rFonts w:ascii="仿宋_GB2312" w:eastAsia="仿宋_GB2312"/>
                <w:b/>
              </w:rPr>
              <w:br w:type="textWrapping"/>
            </w:r>
            <w:r>
              <w:rPr>
                <w:rFonts w:hint="eastAsia" w:ascii="仿宋_GB2312" w:eastAsia="仿宋_GB2312"/>
                <w:b/>
              </w:rPr>
              <w:t>（公司</w:t>
            </w:r>
            <w:r>
              <w:rPr>
                <w:rFonts w:ascii="仿宋_GB2312" w:eastAsia="仿宋_GB2312"/>
                <w:b/>
              </w:rPr>
              <w:t>网站</w:t>
            </w:r>
            <w:r>
              <w:rPr>
                <w:rFonts w:hint="eastAsia" w:ascii="仿宋_GB2312" w:eastAsia="仿宋_GB2312"/>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Merge w:val="restart"/>
            <w:vAlign w:val="center"/>
          </w:tcPr>
          <w:p>
            <w:pPr>
              <w:pStyle w:val="11"/>
              <w:jc w:val="center"/>
              <w:rPr>
                <w:rFonts w:ascii="仿宋_GB2312" w:eastAsia="仿宋_GB2312"/>
              </w:rPr>
            </w:pPr>
            <w:bookmarkStart w:id="0" w:name="_GoBack" w:colFirst="3" w:colLast="5"/>
            <w:r>
              <w:rPr>
                <w:rFonts w:hint="eastAsia" w:ascii="仿宋_GB2312" w:eastAsia="仿宋_GB2312"/>
              </w:rPr>
              <w:t>北京博创智联科技有限公司</w:t>
            </w:r>
          </w:p>
        </w:tc>
        <w:tc>
          <w:tcPr>
            <w:tcW w:w="1817" w:type="dxa"/>
            <w:vAlign w:val="center"/>
          </w:tcPr>
          <w:p>
            <w:pPr>
              <w:pStyle w:val="11"/>
              <w:jc w:val="left"/>
              <w:rPr>
                <w:rFonts w:ascii="仿宋_GB2312" w:eastAsia="仿宋_GB2312"/>
              </w:rPr>
            </w:pPr>
            <w:r>
              <w:rPr>
                <w:rFonts w:hint="eastAsia" w:ascii="仿宋_GB2312" w:eastAsia="仿宋_GB2312"/>
              </w:rPr>
              <w:t>嵌入式人工智能物联网机器人相关专业新工科建设</w:t>
            </w:r>
          </w:p>
        </w:tc>
        <w:tc>
          <w:tcPr>
            <w:tcW w:w="5445" w:type="dxa"/>
            <w:vAlign w:val="center"/>
          </w:tcPr>
          <w:p>
            <w:pPr>
              <w:pStyle w:val="2"/>
              <w:spacing w:line="266" w:lineRule="atLeast"/>
              <w:jc w:val="left"/>
              <w:rPr>
                <w:rFonts w:ascii="宋体" w:hAnsi="宋体"/>
                <w:sz w:val="24"/>
              </w:rPr>
            </w:pPr>
            <w:r>
              <w:rPr>
                <w:rFonts w:hint="eastAsia" w:ascii="宋体" w:hAnsi="宋体"/>
                <w:b w:val="0"/>
                <w:bCs w:val="0"/>
                <w:kern w:val="2"/>
                <w:sz w:val="24"/>
                <w:szCs w:val="24"/>
              </w:rPr>
              <w:t>为深化工程教育改革，推进新工科的建设与发展，配合高校开展新工科研究和实践</w:t>
            </w:r>
            <w:r>
              <w:rPr>
                <w:rFonts w:ascii="Arial" w:hAnsi="Arial" w:cs="Arial"/>
                <w:color w:val="333333"/>
                <w:sz w:val="12"/>
                <w:szCs w:val="12"/>
                <w:shd w:val="clear" w:color="auto" w:fill="FFFFFF"/>
              </w:rPr>
              <w:t>，</w:t>
            </w:r>
            <w:r>
              <w:rPr>
                <w:rFonts w:hint="eastAsia" w:ascii="宋体" w:hAnsi="宋体"/>
                <w:b w:val="0"/>
                <w:bCs w:val="0"/>
                <w:kern w:val="2"/>
                <w:sz w:val="24"/>
                <w:szCs w:val="24"/>
              </w:rPr>
              <w:t>在当前快速发展的集成电路设计应用、嵌入式人工智能、物联网、机器人</w:t>
            </w:r>
            <w:r>
              <w:rPr>
                <w:rFonts w:ascii="宋体" w:hAnsi="宋体"/>
                <w:b w:val="0"/>
                <w:bCs w:val="0"/>
                <w:kern w:val="2"/>
                <w:sz w:val="24"/>
                <w:szCs w:val="24"/>
              </w:rPr>
              <w:t>等</w:t>
            </w:r>
            <w:r>
              <w:rPr>
                <w:rFonts w:hint="eastAsia" w:ascii="宋体" w:hAnsi="宋体"/>
                <w:b w:val="0"/>
                <w:bCs w:val="0"/>
                <w:kern w:val="2"/>
                <w:sz w:val="24"/>
                <w:szCs w:val="24"/>
              </w:rPr>
              <w:t>新方向与高校在课程、教材、实验室共建等方面进行全方位的合作</w:t>
            </w:r>
            <w:r>
              <w:rPr>
                <w:rFonts w:ascii="宋体" w:hAnsi="宋体"/>
                <w:b w:val="0"/>
                <w:bCs w:val="0"/>
                <w:kern w:val="2"/>
                <w:sz w:val="24"/>
                <w:szCs w:val="24"/>
              </w:rPr>
              <w:t>。</w:t>
            </w:r>
          </w:p>
        </w:tc>
        <w:tc>
          <w:tcPr>
            <w:tcW w:w="1122" w:type="dxa"/>
            <w:vAlign w:val="center"/>
          </w:tcPr>
          <w:p>
            <w:pPr>
              <w:pStyle w:val="11"/>
              <w:jc w:val="center"/>
              <w:rPr>
                <w:rFonts w:ascii="仿宋_GB2312" w:eastAsia="仿宋_GB2312"/>
                <w:highlight w:val="yellow"/>
              </w:rPr>
            </w:pPr>
            <w:r>
              <w:rPr>
                <w:rFonts w:hint="eastAsia" w:ascii="仿宋_GB2312" w:eastAsia="仿宋_GB2312"/>
                <w:highlight w:val="yellow"/>
              </w:rPr>
              <w:t>8</w:t>
            </w:r>
          </w:p>
        </w:tc>
        <w:tc>
          <w:tcPr>
            <w:tcW w:w="1300" w:type="dxa"/>
            <w:vAlign w:val="center"/>
          </w:tcPr>
          <w:p>
            <w:pPr>
              <w:pStyle w:val="11"/>
              <w:jc w:val="center"/>
              <w:rPr>
                <w:rFonts w:ascii="仿宋_GB2312" w:eastAsia="仿宋_GB2312"/>
                <w:highlight w:val="yellow"/>
              </w:rPr>
            </w:pPr>
            <w:r>
              <w:rPr>
                <w:rFonts w:hint="eastAsia" w:ascii="仿宋_GB2312" w:eastAsia="仿宋_GB2312"/>
                <w:highlight w:val="yellow"/>
              </w:rPr>
              <w:t>5</w:t>
            </w:r>
          </w:p>
        </w:tc>
        <w:tc>
          <w:tcPr>
            <w:tcW w:w="1645" w:type="dxa"/>
            <w:vAlign w:val="center"/>
          </w:tcPr>
          <w:p>
            <w:pPr>
              <w:pStyle w:val="11"/>
              <w:jc w:val="center"/>
              <w:rPr>
                <w:rFonts w:ascii="仿宋_GB2312" w:eastAsia="仿宋_GB2312"/>
                <w:highlight w:val="yellow"/>
              </w:rPr>
            </w:pPr>
            <w:r>
              <w:rPr>
                <w:rFonts w:hint="eastAsia" w:ascii="仿宋_GB2312" w:eastAsia="仿宋_GB2312"/>
                <w:highlight w:val="yellow"/>
              </w:rPr>
              <w:t>0</w:t>
            </w:r>
          </w:p>
        </w:tc>
        <w:tc>
          <w:tcPr>
            <w:tcW w:w="2037" w:type="dxa"/>
            <w:vAlign w:val="center"/>
          </w:tcPr>
          <w:p>
            <w:pPr>
              <w:pStyle w:val="11"/>
              <w:jc w:val="center"/>
              <w:rPr>
                <w:rFonts w:ascii="仿宋_GB2312" w:eastAsia="仿宋_GB2312"/>
              </w:rPr>
            </w:pPr>
            <w:r>
              <w:rPr>
                <w:rFonts w:hint="eastAsia" w:ascii="仿宋_GB2312" w:eastAsia="仿宋_GB2312"/>
              </w:rPr>
              <w:t>www.up-tech.com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Merge w:val="continue"/>
            <w:vAlign w:val="center"/>
          </w:tcPr>
          <w:p>
            <w:pPr>
              <w:pStyle w:val="11"/>
              <w:jc w:val="center"/>
              <w:rPr>
                <w:rFonts w:ascii="仿宋_GB2312" w:eastAsia="仿宋_GB2312"/>
              </w:rPr>
            </w:pPr>
          </w:p>
        </w:tc>
        <w:tc>
          <w:tcPr>
            <w:tcW w:w="1817" w:type="dxa"/>
            <w:vAlign w:val="center"/>
          </w:tcPr>
          <w:p>
            <w:pPr>
              <w:pStyle w:val="11"/>
              <w:jc w:val="left"/>
              <w:rPr>
                <w:rFonts w:ascii="仿宋_GB2312" w:eastAsia="仿宋_GB2312"/>
              </w:rPr>
            </w:pPr>
            <w:r>
              <w:rPr>
                <w:rFonts w:hint="eastAsia" w:ascii="仿宋_GB2312" w:eastAsia="仿宋_GB2312"/>
              </w:rPr>
              <w:t>嵌入式人工智能物联网机器人相关课程教学</w:t>
            </w:r>
            <w:r>
              <w:rPr>
                <w:rFonts w:ascii="仿宋_GB2312" w:eastAsia="仿宋_GB2312"/>
              </w:rPr>
              <w:t>内容和课程体系改革</w:t>
            </w:r>
          </w:p>
        </w:tc>
        <w:tc>
          <w:tcPr>
            <w:tcW w:w="5445" w:type="dxa"/>
            <w:vAlign w:val="center"/>
          </w:tcPr>
          <w:p>
            <w:pPr>
              <w:rPr>
                <w:rFonts w:ascii="仿宋_GB2312" w:eastAsia="仿宋_GB2312"/>
              </w:rPr>
            </w:pPr>
            <w:r>
              <w:rPr>
                <w:rFonts w:hint="eastAsia" w:ascii="宋体" w:hAnsi="宋体"/>
                <w:sz w:val="24"/>
              </w:rPr>
              <w:t>面向高校</w:t>
            </w:r>
            <w:r>
              <w:rPr>
                <w:rFonts w:hint="eastAsia" w:ascii="宋体" w:hAnsi="宋体" w:eastAsia="宋体"/>
                <w:bCs/>
                <w:sz w:val="24"/>
                <w:szCs w:val="24"/>
              </w:rPr>
              <w:t>集成电路设计应用、嵌入式人工智能、物联网、机器人</w:t>
            </w:r>
            <w:r>
              <w:rPr>
                <w:rFonts w:hint="eastAsia" w:ascii="宋体" w:hAnsi="宋体"/>
                <w:sz w:val="24"/>
              </w:rPr>
              <w:t>等课程和相关专业，建立双向合作机制，创立符合产业需求与促进高校专业学科发展的全新课程体系。</w:t>
            </w:r>
          </w:p>
        </w:tc>
        <w:tc>
          <w:tcPr>
            <w:tcW w:w="1122" w:type="dxa"/>
            <w:vAlign w:val="center"/>
          </w:tcPr>
          <w:p>
            <w:pPr>
              <w:pStyle w:val="11"/>
              <w:jc w:val="center"/>
              <w:rPr>
                <w:rFonts w:ascii="仿宋_GB2312" w:eastAsia="仿宋_GB2312"/>
                <w:highlight w:val="yellow"/>
              </w:rPr>
            </w:pPr>
            <w:r>
              <w:rPr>
                <w:rFonts w:hint="eastAsia" w:ascii="仿宋_GB2312" w:eastAsia="仿宋_GB2312"/>
                <w:highlight w:val="yellow"/>
              </w:rPr>
              <w:t>15</w:t>
            </w:r>
          </w:p>
        </w:tc>
        <w:tc>
          <w:tcPr>
            <w:tcW w:w="1300" w:type="dxa"/>
            <w:vAlign w:val="center"/>
          </w:tcPr>
          <w:p>
            <w:pPr>
              <w:pStyle w:val="11"/>
              <w:jc w:val="center"/>
              <w:rPr>
                <w:rFonts w:ascii="仿宋_GB2312" w:eastAsia="仿宋_GB2312"/>
                <w:highlight w:val="yellow"/>
              </w:rPr>
            </w:pPr>
            <w:r>
              <w:rPr>
                <w:rFonts w:hint="eastAsia" w:ascii="仿宋_GB2312" w:eastAsia="仿宋_GB2312"/>
                <w:highlight w:val="yellow"/>
              </w:rPr>
              <w:t>5</w:t>
            </w:r>
          </w:p>
        </w:tc>
        <w:tc>
          <w:tcPr>
            <w:tcW w:w="1645" w:type="dxa"/>
            <w:vAlign w:val="center"/>
          </w:tcPr>
          <w:p>
            <w:pPr>
              <w:pStyle w:val="11"/>
              <w:jc w:val="center"/>
              <w:rPr>
                <w:rFonts w:ascii="仿宋_GB2312" w:eastAsia="仿宋_GB2312"/>
                <w:highlight w:val="yellow"/>
              </w:rPr>
            </w:pPr>
            <w:r>
              <w:rPr>
                <w:rFonts w:hint="eastAsia" w:ascii="仿宋_GB2312" w:eastAsia="仿宋_GB2312"/>
                <w:highlight w:val="yellow"/>
              </w:rPr>
              <w:t>0</w:t>
            </w:r>
          </w:p>
        </w:tc>
        <w:tc>
          <w:tcPr>
            <w:tcW w:w="2037" w:type="dxa"/>
            <w:vAlign w:val="center"/>
          </w:tcPr>
          <w:p>
            <w:pPr>
              <w:pStyle w:val="11"/>
              <w:jc w:val="center"/>
              <w:rPr>
                <w:rFonts w:ascii="仿宋_GB2312" w:eastAsia="仿宋_GB2312"/>
              </w:rPr>
            </w:pPr>
            <w:r>
              <w:rPr>
                <w:rFonts w:hint="eastAsia" w:ascii="仿宋_GB2312" w:eastAsia="仿宋_GB2312"/>
              </w:rPr>
              <w:t>www.up-tech.com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Merge w:val="continue"/>
            <w:vAlign w:val="center"/>
          </w:tcPr>
          <w:p>
            <w:pPr>
              <w:pStyle w:val="11"/>
              <w:jc w:val="center"/>
              <w:rPr>
                <w:rFonts w:ascii="仿宋_GB2312" w:eastAsia="仿宋_GB2312"/>
              </w:rPr>
            </w:pPr>
          </w:p>
        </w:tc>
        <w:tc>
          <w:tcPr>
            <w:tcW w:w="1817" w:type="dxa"/>
            <w:vAlign w:val="center"/>
          </w:tcPr>
          <w:p>
            <w:pPr>
              <w:pStyle w:val="11"/>
              <w:jc w:val="left"/>
              <w:rPr>
                <w:rFonts w:ascii="仿宋_GB2312" w:eastAsia="仿宋_GB2312"/>
              </w:rPr>
            </w:pPr>
            <w:r>
              <w:rPr>
                <w:rFonts w:hint="eastAsia" w:ascii="仿宋_GB2312" w:eastAsia="仿宋_GB2312"/>
              </w:rPr>
              <w:t>嵌入式人工智能物联网机器人专业创新</w:t>
            </w:r>
            <w:r>
              <w:rPr>
                <w:rFonts w:ascii="仿宋_GB2312" w:eastAsia="仿宋_GB2312"/>
              </w:rPr>
              <w:t>创业教育改革</w:t>
            </w:r>
          </w:p>
        </w:tc>
        <w:tc>
          <w:tcPr>
            <w:tcW w:w="5445" w:type="dxa"/>
            <w:vAlign w:val="center"/>
          </w:tcPr>
          <w:p>
            <w:pPr>
              <w:rPr>
                <w:rFonts w:ascii="宋体" w:hAnsi="宋体"/>
                <w:sz w:val="24"/>
              </w:rPr>
            </w:pPr>
            <w:r>
              <w:rPr>
                <w:rFonts w:hint="eastAsia" w:ascii="宋体" w:hAnsi="宋体"/>
                <w:sz w:val="24"/>
              </w:rPr>
              <w:t>面向高校</w:t>
            </w:r>
            <w:r>
              <w:rPr>
                <w:rFonts w:hint="eastAsia" w:ascii="宋体" w:hAnsi="宋体" w:eastAsia="宋体"/>
                <w:bCs/>
                <w:sz w:val="24"/>
                <w:szCs w:val="24"/>
              </w:rPr>
              <w:t>集成电路设计应用、嵌入式人工智能、物联网、机器人</w:t>
            </w:r>
            <w:r>
              <w:rPr>
                <w:rFonts w:hint="eastAsia" w:ascii="宋体" w:hAnsi="宋体"/>
                <w:sz w:val="24"/>
              </w:rPr>
              <w:t>等方向和领域，创立符合产业需求与促进高校专业学科发展的创新创业人才培养模式，构建全新课程体系和创客空间、大学生项目孵化平台等。</w:t>
            </w:r>
          </w:p>
        </w:tc>
        <w:tc>
          <w:tcPr>
            <w:tcW w:w="1122" w:type="dxa"/>
            <w:vAlign w:val="center"/>
          </w:tcPr>
          <w:p>
            <w:pPr>
              <w:pStyle w:val="11"/>
              <w:jc w:val="center"/>
              <w:rPr>
                <w:rFonts w:ascii="仿宋_GB2312" w:eastAsia="仿宋_GB2312"/>
                <w:highlight w:val="yellow"/>
              </w:rPr>
            </w:pPr>
            <w:r>
              <w:rPr>
                <w:rFonts w:hint="eastAsia" w:ascii="仿宋_GB2312" w:eastAsia="仿宋_GB2312"/>
                <w:highlight w:val="yellow"/>
              </w:rPr>
              <w:t>5</w:t>
            </w:r>
          </w:p>
        </w:tc>
        <w:tc>
          <w:tcPr>
            <w:tcW w:w="1300" w:type="dxa"/>
            <w:vAlign w:val="center"/>
          </w:tcPr>
          <w:p>
            <w:pPr>
              <w:pStyle w:val="11"/>
              <w:jc w:val="center"/>
              <w:rPr>
                <w:rFonts w:ascii="仿宋_GB2312" w:eastAsia="仿宋_GB2312"/>
                <w:highlight w:val="yellow"/>
              </w:rPr>
            </w:pPr>
            <w:r>
              <w:rPr>
                <w:rFonts w:hint="eastAsia" w:ascii="仿宋_GB2312" w:eastAsia="仿宋_GB2312"/>
                <w:highlight w:val="yellow"/>
              </w:rPr>
              <w:t>5</w:t>
            </w:r>
          </w:p>
        </w:tc>
        <w:tc>
          <w:tcPr>
            <w:tcW w:w="1645" w:type="dxa"/>
            <w:vAlign w:val="center"/>
          </w:tcPr>
          <w:p>
            <w:pPr>
              <w:pStyle w:val="11"/>
              <w:jc w:val="center"/>
              <w:rPr>
                <w:rFonts w:ascii="仿宋_GB2312" w:eastAsia="仿宋_GB2312"/>
                <w:highlight w:val="yellow"/>
              </w:rPr>
            </w:pPr>
            <w:r>
              <w:rPr>
                <w:rFonts w:hint="eastAsia" w:ascii="仿宋_GB2312" w:eastAsia="仿宋_GB2312"/>
                <w:highlight w:val="yellow"/>
              </w:rPr>
              <w:t>0</w:t>
            </w:r>
          </w:p>
        </w:tc>
        <w:tc>
          <w:tcPr>
            <w:tcW w:w="2037" w:type="dxa"/>
            <w:vAlign w:val="center"/>
          </w:tcPr>
          <w:p>
            <w:pPr>
              <w:pStyle w:val="11"/>
              <w:jc w:val="center"/>
              <w:rPr>
                <w:rFonts w:ascii="仿宋_GB2312" w:eastAsia="仿宋_GB2312"/>
              </w:rPr>
            </w:pPr>
            <w:r>
              <w:rPr>
                <w:rFonts w:hint="eastAsia" w:ascii="仿宋_GB2312" w:eastAsia="仿宋_GB2312"/>
              </w:rPr>
              <w:t>www.up-tech.com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jc w:val="center"/>
        </w:trPr>
        <w:tc>
          <w:tcPr>
            <w:tcW w:w="726" w:type="dxa"/>
            <w:vMerge w:val="continue"/>
            <w:vAlign w:val="center"/>
          </w:tcPr>
          <w:p>
            <w:pPr>
              <w:pStyle w:val="11"/>
              <w:jc w:val="center"/>
              <w:rPr>
                <w:rFonts w:ascii="仿宋_GB2312" w:eastAsia="仿宋_GB2312"/>
              </w:rPr>
            </w:pPr>
          </w:p>
        </w:tc>
        <w:tc>
          <w:tcPr>
            <w:tcW w:w="1817" w:type="dxa"/>
            <w:vAlign w:val="center"/>
          </w:tcPr>
          <w:p>
            <w:pPr>
              <w:pStyle w:val="11"/>
              <w:jc w:val="left"/>
              <w:rPr>
                <w:rFonts w:ascii="仿宋_GB2312" w:eastAsia="仿宋_GB2312"/>
              </w:rPr>
            </w:pPr>
            <w:r>
              <w:rPr>
                <w:rFonts w:hint="eastAsia" w:ascii="仿宋_GB2312" w:eastAsia="仿宋_GB2312"/>
              </w:rPr>
              <w:t>实践条件和实践基地建设</w:t>
            </w:r>
          </w:p>
        </w:tc>
        <w:tc>
          <w:tcPr>
            <w:tcW w:w="5445" w:type="dxa"/>
            <w:vAlign w:val="center"/>
          </w:tcPr>
          <w:p>
            <w:pPr>
              <w:pStyle w:val="11"/>
              <w:jc w:val="left"/>
              <w:rPr>
                <w:rFonts w:ascii="仿宋_GB2312" w:eastAsia="仿宋_GB2312"/>
              </w:rPr>
            </w:pPr>
            <w:r>
              <w:rPr>
                <w:rFonts w:hint="eastAsia" w:ascii="宋体" w:hAnsi="宋体"/>
                <w:sz w:val="24"/>
              </w:rPr>
              <w:t>围绕</w:t>
            </w:r>
            <w:r>
              <w:rPr>
                <w:rFonts w:hint="eastAsia" w:ascii="宋体" w:hAnsi="宋体"/>
                <w:bCs/>
                <w:kern w:val="2"/>
                <w:sz w:val="24"/>
                <w:szCs w:val="24"/>
              </w:rPr>
              <w:t>集成电路设计应用、嵌入式人工智能、物联网、机器人</w:t>
            </w:r>
            <w:r>
              <w:rPr>
                <w:rFonts w:hint="eastAsia" w:ascii="宋体" w:hAnsi="宋体"/>
                <w:sz w:val="24"/>
              </w:rPr>
              <w:t>等方向，支持高校建设联合实验室和实践基地，服务于高校基础教学及实验科研。同时也可以基于实验室环境开展专业实训、课程设计、毕业设计、学科竞赛等活动，推动高校实践教学改革。</w:t>
            </w:r>
          </w:p>
        </w:tc>
        <w:tc>
          <w:tcPr>
            <w:tcW w:w="1122" w:type="dxa"/>
            <w:vAlign w:val="center"/>
          </w:tcPr>
          <w:p>
            <w:pPr>
              <w:pStyle w:val="11"/>
              <w:jc w:val="center"/>
              <w:rPr>
                <w:rFonts w:ascii="仿宋_GB2312" w:eastAsia="仿宋_GB2312"/>
                <w:highlight w:val="yellow"/>
              </w:rPr>
            </w:pPr>
            <w:r>
              <w:rPr>
                <w:rFonts w:hint="eastAsia" w:ascii="仿宋_GB2312" w:eastAsia="仿宋_GB2312"/>
                <w:highlight w:val="yellow"/>
              </w:rPr>
              <w:t>15</w:t>
            </w:r>
          </w:p>
        </w:tc>
        <w:tc>
          <w:tcPr>
            <w:tcW w:w="1300" w:type="dxa"/>
            <w:vAlign w:val="center"/>
          </w:tcPr>
          <w:p>
            <w:pPr>
              <w:pStyle w:val="11"/>
              <w:jc w:val="center"/>
              <w:rPr>
                <w:rFonts w:ascii="仿宋_GB2312" w:eastAsia="仿宋_GB2312"/>
                <w:highlight w:val="yellow"/>
              </w:rPr>
            </w:pPr>
            <w:r>
              <w:rPr>
                <w:rFonts w:hint="eastAsia" w:ascii="仿宋_GB2312" w:eastAsia="仿宋_GB2312"/>
                <w:highlight w:val="yellow"/>
              </w:rPr>
              <w:t>0</w:t>
            </w:r>
          </w:p>
        </w:tc>
        <w:tc>
          <w:tcPr>
            <w:tcW w:w="1645" w:type="dxa"/>
            <w:vAlign w:val="center"/>
          </w:tcPr>
          <w:p>
            <w:pPr>
              <w:pStyle w:val="11"/>
              <w:jc w:val="center"/>
              <w:rPr>
                <w:rFonts w:ascii="仿宋_GB2312" w:eastAsia="仿宋_GB2312"/>
                <w:highlight w:val="yellow"/>
              </w:rPr>
            </w:pPr>
            <w:r>
              <w:rPr>
                <w:rFonts w:hint="eastAsia" w:ascii="仿宋_GB2312" w:eastAsia="仿宋_GB2312"/>
                <w:highlight w:val="yellow"/>
              </w:rPr>
              <w:t>20</w:t>
            </w:r>
          </w:p>
        </w:tc>
        <w:tc>
          <w:tcPr>
            <w:tcW w:w="2037" w:type="dxa"/>
            <w:vAlign w:val="center"/>
          </w:tcPr>
          <w:p>
            <w:pPr>
              <w:pStyle w:val="11"/>
              <w:jc w:val="center"/>
              <w:rPr>
                <w:rFonts w:ascii="仿宋_GB2312" w:eastAsia="仿宋_GB2312"/>
              </w:rPr>
            </w:pPr>
            <w:r>
              <w:rPr>
                <w:rFonts w:hint="eastAsia" w:ascii="仿宋_GB2312" w:eastAsia="仿宋_GB2312"/>
              </w:rPr>
              <w:t>www.up-tech.com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Merge w:val="continue"/>
            <w:vAlign w:val="center"/>
          </w:tcPr>
          <w:p>
            <w:pPr>
              <w:pStyle w:val="11"/>
              <w:jc w:val="center"/>
              <w:rPr>
                <w:rFonts w:ascii="仿宋_GB2312" w:eastAsia="仿宋_GB2312"/>
              </w:rPr>
            </w:pPr>
          </w:p>
        </w:tc>
        <w:tc>
          <w:tcPr>
            <w:tcW w:w="1817" w:type="dxa"/>
            <w:vAlign w:val="center"/>
          </w:tcPr>
          <w:p>
            <w:pPr>
              <w:pStyle w:val="11"/>
              <w:jc w:val="left"/>
              <w:rPr>
                <w:rFonts w:ascii="仿宋_GB2312" w:eastAsia="仿宋_GB2312"/>
              </w:rPr>
            </w:pPr>
            <w:r>
              <w:rPr>
                <w:rFonts w:hint="eastAsia" w:ascii="仿宋_GB2312" w:eastAsia="仿宋_GB2312"/>
              </w:rPr>
              <w:t>嵌入式人工智能物联网机器人专业师资培训</w:t>
            </w:r>
          </w:p>
        </w:tc>
        <w:tc>
          <w:tcPr>
            <w:tcW w:w="5445" w:type="dxa"/>
            <w:vAlign w:val="center"/>
          </w:tcPr>
          <w:p>
            <w:pPr>
              <w:pStyle w:val="11"/>
              <w:jc w:val="left"/>
              <w:rPr>
                <w:rFonts w:ascii="仿宋_GB2312" w:eastAsia="仿宋_GB2312"/>
                <w:b/>
              </w:rPr>
            </w:pPr>
            <w:r>
              <w:rPr>
                <w:rFonts w:hint="eastAsia" w:ascii="宋体" w:hAnsi="宋体"/>
                <w:sz w:val="24"/>
              </w:rPr>
              <w:t>拟在集成电路设计应用、嵌入式人工智能、物联网等方向与高校合作举办师资培训班。由企业提供师资、设备，合作院校负责培训场地、当地的宣传服务。为合作院校新专业、新技术方向开展师资培训活动，提升教师教学水平和实践能力。</w:t>
            </w:r>
          </w:p>
        </w:tc>
        <w:tc>
          <w:tcPr>
            <w:tcW w:w="1122" w:type="dxa"/>
            <w:vAlign w:val="center"/>
          </w:tcPr>
          <w:p>
            <w:pPr>
              <w:pStyle w:val="11"/>
              <w:jc w:val="center"/>
              <w:rPr>
                <w:rFonts w:ascii="仿宋_GB2312" w:eastAsia="仿宋_GB2312"/>
                <w:b/>
                <w:highlight w:val="yellow"/>
              </w:rPr>
            </w:pPr>
            <w:r>
              <w:rPr>
                <w:rFonts w:hint="eastAsia" w:ascii="仿宋_GB2312" w:eastAsia="仿宋_GB2312"/>
                <w:b/>
                <w:highlight w:val="yellow"/>
              </w:rPr>
              <w:t>12</w:t>
            </w:r>
          </w:p>
        </w:tc>
        <w:tc>
          <w:tcPr>
            <w:tcW w:w="1300" w:type="dxa"/>
            <w:vAlign w:val="center"/>
          </w:tcPr>
          <w:p>
            <w:pPr>
              <w:pStyle w:val="11"/>
              <w:jc w:val="center"/>
              <w:rPr>
                <w:rFonts w:ascii="仿宋_GB2312" w:eastAsia="仿宋_GB2312"/>
                <w:b/>
                <w:highlight w:val="yellow"/>
              </w:rPr>
            </w:pPr>
            <w:r>
              <w:rPr>
                <w:rFonts w:hint="eastAsia" w:ascii="仿宋_GB2312" w:eastAsia="仿宋_GB2312"/>
                <w:b/>
                <w:highlight w:val="yellow"/>
              </w:rPr>
              <w:t>2</w:t>
            </w:r>
          </w:p>
        </w:tc>
        <w:tc>
          <w:tcPr>
            <w:tcW w:w="1645" w:type="dxa"/>
            <w:vAlign w:val="center"/>
          </w:tcPr>
          <w:p>
            <w:pPr>
              <w:pStyle w:val="11"/>
              <w:jc w:val="center"/>
              <w:rPr>
                <w:rFonts w:ascii="仿宋_GB2312" w:eastAsia="仿宋_GB2312"/>
                <w:b/>
                <w:highlight w:val="yellow"/>
              </w:rPr>
            </w:pPr>
            <w:r>
              <w:rPr>
                <w:rFonts w:hint="eastAsia" w:ascii="仿宋_GB2312" w:eastAsia="仿宋_GB2312"/>
                <w:b/>
                <w:highlight w:val="yellow"/>
              </w:rPr>
              <w:t>0</w:t>
            </w:r>
          </w:p>
        </w:tc>
        <w:tc>
          <w:tcPr>
            <w:tcW w:w="2037" w:type="dxa"/>
            <w:vAlign w:val="center"/>
          </w:tcPr>
          <w:p>
            <w:pPr>
              <w:pStyle w:val="11"/>
              <w:jc w:val="center"/>
              <w:rPr>
                <w:rFonts w:ascii="仿宋_GB2312" w:eastAsia="仿宋_GB2312"/>
              </w:rPr>
            </w:pPr>
            <w:r>
              <w:rPr>
                <w:rFonts w:hint="eastAsia" w:ascii="仿宋_GB2312" w:eastAsia="仿宋_GB2312"/>
              </w:rPr>
              <w:t>www.up-tech.com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726" w:type="dxa"/>
            <w:vMerge w:val="continue"/>
            <w:vAlign w:val="center"/>
          </w:tcPr>
          <w:p>
            <w:pPr>
              <w:pStyle w:val="11"/>
              <w:jc w:val="center"/>
              <w:rPr>
                <w:rFonts w:ascii="仿宋_GB2312" w:eastAsia="仿宋_GB2312"/>
              </w:rPr>
            </w:pPr>
          </w:p>
        </w:tc>
        <w:tc>
          <w:tcPr>
            <w:tcW w:w="1817" w:type="dxa"/>
            <w:vAlign w:val="center"/>
          </w:tcPr>
          <w:p>
            <w:pPr>
              <w:pStyle w:val="11"/>
              <w:jc w:val="center"/>
              <w:rPr>
                <w:rFonts w:ascii="仿宋_GB2312" w:eastAsia="仿宋_GB2312"/>
                <w:b/>
              </w:rPr>
            </w:pPr>
            <w:r>
              <w:rPr>
                <w:rFonts w:hint="eastAsia" w:ascii="仿宋_GB2312" w:eastAsia="仿宋_GB2312"/>
                <w:b/>
              </w:rPr>
              <w:t>合计</w:t>
            </w:r>
          </w:p>
        </w:tc>
        <w:tc>
          <w:tcPr>
            <w:tcW w:w="5445" w:type="dxa"/>
            <w:vAlign w:val="center"/>
          </w:tcPr>
          <w:p>
            <w:pPr>
              <w:pStyle w:val="11"/>
              <w:jc w:val="center"/>
              <w:rPr>
                <w:rFonts w:ascii="仿宋_GB2312" w:eastAsia="仿宋_GB2312"/>
                <w:b/>
              </w:rPr>
            </w:pPr>
          </w:p>
          <w:p>
            <w:pPr>
              <w:pStyle w:val="11"/>
              <w:jc w:val="center"/>
              <w:rPr>
                <w:rFonts w:ascii="仿宋_GB2312" w:eastAsia="仿宋_GB2312"/>
                <w:b/>
              </w:rPr>
            </w:pPr>
          </w:p>
        </w:tc>
        <w:tc>
          <w:tcPr>
            <w:tcW w:w="1122" w:type="dxa"/>
            <w:vAlign w:val="center"/>
          </w:tcPr>
          <w:p>
            <w:pPr>
              <w:pStyle w:val="11"/>
              <w:jc w:val="center"/>
              <w:rPr>
                <w:rFonts w:ascii="仿宋_GB2312" w:eastAsia="仿宋_GB2312"/>
                <w:b/>
                <w:highlight w:val="yellow"/>
              </w:rPr>
            </w:pPr>
            <w:r>
              <w:rPr>
                <w:rFonts w:hint="eastAsia" w:ascii="仿宋_GB2312" w:eastAsia="仿宋_GB2312"/>
                <w:b/>
                <w:highlight w:val="yellow"/>
              </w:rPr>
              <w:t>55</w:t>
            </w:r>
          </w:p>
        </w:tc>
        <w:tc>
          <w:tcPr>
            <w:tcW w:w="1300" w:type="dxa"/>
            <w:vAlign w:val="center"/>
          </w:tcPr>
          <w:p>
            <w:pPr>
              <w:pStyle w:val="11"/>
              <w:jc w:val="center"/>
              <w:rPr>
                <w:rFonts w:ascii="仿宋_GB2312" w:eastAsia="仿宋_GB2312"/>
                <w:b/>
                <w:highlight w:val="yellow"/>
              </w:rPr>
            </w:pPr>
            <w:r>
              <w:rPr>
                <w:rFonts w:hint="eastAsia" w:ascii="仿宋_GB2312" w:eastAsia="仿宋_GB2312"/>
                <w:b/>
                <w:highlight w:val="yellow"/>
              </w:rPr>
              <w:t>164</w:t>
            </w:r>
          </w:p>
        </w:tc>
        <w:tc>
          <w:tcPr>
            <w:tcW w:w="1645" w:type="dxa"/>
            <w:vAlign w:val="center"/>
          </w:tcPr>
          <w:p>
            <w:pPr>
              <w:pStyle w:val="11"/>
              <w:jc w:val="center"/>
              <w:rPr>
                <w:rFonts w:ascii="仿宋_GB2312" w:eastAsia="仿宋_GB2312"/>
                <w:b/>
                <w:highlight w:val="yellow"/>
              </w:rPr>
            </w:pPr>
            <w:r>
              <w:rPr>
                <w:rFonts w:hint="eastAsia" w:ascii="仿宋_GB2312" w:eastAsia="仿宋_GB2312"/>
                <w:b/>
                <w:highlight w:val="yellow"/>
              </w:rPr>
              <w:t>300</w:t>
            </w:r>
          </w:p>
        </w:tc>
        <w:tc>
          <w:tcPr>
            <w:tcW w:w="2037" w:type="dxa"/>
            <w:vAlign w:val="center"/>
          </w:tcPr>
          <w:p>
            <w:pPr>
              <w:pStyle w:val="11"/>
              <w:jc w:val="center"/>
              <w:rPr>
                <w:rFonts w:ascii="仿宋_GB2312" w:eastAsia="仿宋_GB2312"/>
                <w:b/>
              </w:rPr>
            </w:pPr>
          </w:p>
        </w:tc>
      </w:tr>
      <w:bookmarkEnd w:id="0"/>
    </w:tbl>
    <w:p>
      <w:pPr>
        <w:pStyle w:val="11"/>
        <w:jc w:val="left"/>
        <w:rPr>
          <w:rFonts w:ascii="仿宋_GB2312" w:eastAsia="仿宋_GB2312"/>
        </w:rPr>
      </w:pPr>
      <w:r>
        <w:rPr>
          <w:rFonts w:hint="eastAsia" w:ascii="仿宋_GB2312" w:eastAsia="仿宋_GB2312"/>
        </w:rPr>
        <w:t>注：1.各类型项目专项资金总额不少于50万元/年。</w:t>
      </w:r>
    </w:p>
    <w:p>
      <w:pPr>
        <w:pStyle w:val="11"/>
        <w:jc w:val="left"/>
        <w:rPr>
          <w:rFonts w:ascii="仿宋_GB2312" w:eastAsia="仿宋_GB2312"/>
        </w:rPr>
      </w:pPr>
      <w:r>
        <w:rPr>
          <w:rFonts w:ascii="仿宋_GB2312" w:eastAsia="仿宋_GB2312"/>
        </w:rPr>
        <w:tab/>
      </w:r>
      <w:r>
        <w:rPr>
          <w:rFonts w:ascii="仿宋_GB2312" w:eastAsia="仿宋_GB2312"/>
        </w:rPr>
        <w:t>2.</w:t>
      </w:r>
      <w:r>
        <w:rPr>
          <w:rFonts w:hint="eastAsia" w:ascii="仿宋_GB2312" w:eastAsia="仿宋_GB2312"/>
        </w:rPr>
        <w:t>新工科建设、教学内容和课程体系改革、创新创业教育改革项目支持资金不少于5万元/项。</w:t>
      </w:r>
    </w:p>
    <w:p>
      <w:pPr>
        <w:pStyle w:val="11"/>
        <w:jc w:val="left"/>
        <w:rPr>
          <w:rFonts w:ascii="仿宋_GB2312" w:eastAsia="仿宋_GB2312"/>
        </w:rPr>
      </w:pPr>
      <w:r>
        <w:rPr>
          <w:rFonts w:ascii="仿宋_GB2312" w:eastAsia="仿宋_GB2312"/>
        </w:rPr>
        <w:tab/>
      </w:r>
      <w:r>
        <w:rPr>
          <w:rFonts w:ascii="仿宋_GB2312" w:eastAsia="仿宋_GB2312"/>
        </w:rPr>
        <w:t>3.</w:t>
      </w:r>
      <w:r>
        <w:rPr>
          <w:rFonts w:hint="eastAsia" w:ascii="仿宋_GB2312" w:eastAsia="仿宋_GB2312"/>
        </w:rPr>
        <w:t>师资培训、创新创业联合基金支持资金不少于2万元/项。</w:t>
      </w:r>
    </w:p>
    <w:sectPr>
      <w:pgSz w:w="16838" w:h="11906" w:orient="landscape"/>
      <w:pgMar w:top="1797" w:right="1134" w:bottom="179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4410"/>
    <w:rsid w:val="000223DF"/>
    <w:rsid w:val="00025FAC"/>
    <w:rsid w:val="0006034A"/>
    <w:rsid w:val="000758D6"/>
    <w:rsid w:val="000B15A7"/>
    <w:rsid w:val="000D5CCB"/>
    <w:rsid w:val="000E11F5"/>
    <w:rsid w:val="000E7172"/>
    <w:rsid w:val="000F019D"/>
    <w:rsid w:val="000F134D"/>
    <w:rsid w:val="000F43AD"/>
    <w:rsid w:val="00106489"/>
    <w:rsid w:val="00120EC8"/>
    <w:rsid w:val="00140A66"/>
    <w:rsid w:val="001634A5"/>
    <w:rsid w:val="001876C9"/>
    <w:rsid w:val="001A242C"/>
    <w:rsid w:val="001B738E"/>
    <w:rsid w:val="001B7762"/>
    <w:rsid w:val="001D6B12"/>
    <w:rsid w:val="001E52B2"/>
    <w:rsid w:val="00201B18"/>
    <w:rsid w:val="002145CC"/>
    <w:rsid w:val="00232493"/>
    <w:rsid w:val="00232C31"/>
    <w:rsid w:val="00267F75"/>
    <w:rsid w:val="002707E8"/>
    <w:rsid w:val="002E29FB"/>
    <w:rsid w:val="00345F89"/>
    <w:rsid w:val="00350696"/>
    <w:rsid w:val="00350D54"/>
    <w:rsid w:val="003A3C2D"/>
    <w:rsid w:val="003D5ED2"/>
    <w:rsid w:val="003F34E4"/>
    <w:rsid w:val="003F56E8"/>
    <w:rsid w:val="00415136"/>
    <w:rsid w:val="00445661"/>
    <w:rsid w:val="004517C2"/>
    <w:rsid w:val="00452AFA"/>
    <w:rsid w:val="004635F7"/>
    <w:rsid w:val="0048557E"/>
    <w:rsid w:val="00495C58"/>
    <w:rsid w:val="00496B26"/>
    <w:rsid w:val="00497F86"/>
    <w:rsid w:val="004C2721"/>
    <w:rsid w:val="004C6419"/>
    <w:rsid w:val="004C709D"/>
    <w:rsid w:val="004D2651"/>
    <w:rsid w:val="004F0009"/>
    <w:rsid w:val="00527583"/>
    <w:rsid w:val="00541FF5"/>
    <w:rsid w:val="0055071E"/>
    <w:rsid w:val="00556B12"/>
    <w:rsid w:val="0059333D"/>
    <w:rsid w:val="005A45B5"/>
    <w:rsid w:val="005C08C6"/>
    <w:rsid w:val="005C43BD"/>
    <w:rsid w:val="005C6BC3"/>
    <w:rsid w:val="005F7DCC"/>
    <w:rsid w:val="00623E2C"/>
    <w:rsid w:val="00627BBB"/>
    <w:rsid w:val="006329F2"/>
    <w:rsid w:val="006359DC"/>
    <w:rsid w:val="00635CC6"/>
    <w:rsid w:val="006549E0"/>
    <w:rsid w:val="00656BAC"/>
    <w:rsid w:val="00660A4A"/>
    <w:rsid w:val="006775FA"/>
    <w:rsid w:val="0068195D"/>
    <w:rsid w:val="00687308"/>
    <w:rsid w:val="006876BC"/>
    <w:rsid w:val="00697397"/>
    <w:rsid w:val="006B1681"/>
    <w:rsid w:val="006C7661"/>
    <w:rsid w:val="006E4981"/>
    <w:rsid w:val="006F1537"/>
    <w:rsid w:val="007001C4"/>
    <w:rsid w:val="0070041B"/>
    <w:rsid w:val="0070112C"/>
    <w:rsid w:val="00701261"/>
    <w:rsid w:val="00711285"/>
    <w:rsid w:val="00737D75"/>
    <w:rsid w:val="00742106"/>
    <w:rsid w:val="007444BB"/>
    <w:rsid w:val="00745FAF"/>
    <w:rsid w:val="00751D6D"/>
    <w:rsid w:val="00751E92"/>
    <w:rsid w:val="00760C21"/>
    <w:rsid w:val="0076656C"/>
    <w:rsid w:val="00774620"/>
    <w:rsid w:val="00775875"/>
    <w:rsid w:val="00790F7D"/>
    <w:rsid w:val="007A72F9"/>
    <w:rsid w:val="007B17BB"/>
    <w:rsid w:val="007B18FA"/>
    <w:rsid w:val="007B4E8B"/>
    <w:rsid w:val="007C5CE2"/>
    <w:rsid w:val="007D1CE3"/>
    <w:rsid w:val="007E1285"/>
    <w:rsid w:val="007F562F"/>
    <w:rsid w:val="00805CDA"/>
    <w:rsid w:val="00816249"/>
    <w:rsid w:val="008254E5"/>
    <w:rsid w:val="00825B94"/>
    <w:rsid w:val="0082783B"/>
    <w:rsid w:val="0083373E"/>
    <w:rsid w:val="008404BF"/>
    <w:rsid w:val="008432EE"/>
    <w:rsid w:val="00844902"/>
    <w:rsid w:val="0084598D"/>
    <w:rsid w:val="0085286F"/>
    <w:rsid w:val="008928BD"/>
    <w:rsid w:val="008B1493"/>
    <w:rsid w:val="008C03A9"/>
    <w:rsid w:val="008E7A13"/>
    <w:rsid w:val="008F0FF3"/>
    <w:rsid w:val="008F4B3C"/>
    <w:rsid w:val="008F7736"/>
    <w:rsid w:val="009035E6"/>
    <w:rsid w:val="00912AB1"/>
    <w:rsid w:val="00931348"/>
    <w:rsid w:val="009326DF"/>
    <w:rsid w:val="00970293"/>
    <w:rsid w:val="009B7C42"/>
    <w:rsid w:val="009D3D97"/>
    <w:rsid w:val="009D757C"/>
    <w:rsid w:val="009E11B9"/>
    <w:rsid w:val="00A13C7A"/>
    <w:rsid w:val="00A23542"/>
    <w:rsid w:val="00A242C3"/>
    <w:rsid w:val="00A32F66"/>
    <w:rsid w:val="00A526F7"/>
    <w:rsid w:val="00A605F5"/>
    <w:rsid w:val="00A60744"/>
    <w:rsid w:val="00A62BAC"/>
    <w:rsid w:val="00A72B67"/>
    <w:rsid w:val="00A75298"/>
    <w:rsid w:val="00A83DA8"/>
    <w:rsid w:val="00A95F74"/>
    <w:rsid w:val="00A96407"/>
    <w:rsid w:val="00AA7DD8"/>
    <w:rsid w:val="00AA7E54"/>
    <w:rsid w:val="00AB706C"/>
    <w:rsid w:val="00AC7BCC"/>
    <w:rsid w:val="00AF1597"/>
    <w:rsid w:val="00AF6085"/>
    <w:rsid w:val="00B02451"/>
    <w:rsid w:val="00B0668B"/>
    <w:rsid w:val="00B075F5"/>
    <w:rsid w:val="00B14B35"/>
    <w:rsid w:val="00B214AE"/>
    <w:rsid w:val="00B34AAF"/>
    <w:rsid w:val="00B41B7A"/>
    <w:rsid w:val="00B43C83"/>
    <w:rsid w:val="00B4477B"/>
    <w:rsid w:val="00B448A5"/>
    <w:rsid w:val="00B63B3A"/>
    <w:rsid w:val="00B64151"/>
    <w:rsid w:val="00B64610"/>
    <w:rsid w:val="00B72C76"/>
    <w:rsid w:val="00B72CB4"/>
    <w:rsid w:val="00B75744"/>
    <w:rsid w:val="00B8160C"/>
    <w:rsid w:val="00B821F5"/>
    <w:rsid w:val="00B84222"/>
    <w:rsid w:val="00BA3F72"/>
    <w:rsid w:val="00BC49E3"/>
    <w:rsid w:val="00BC6C35"/>
    <w:rsid w:val="00BD0EDF"/>
    <w:rsid w:val="00BE3BF6"/>
    <w:rsid w:val="00BE4410"/>
    <w:rsid w:val="00BF0EB8"/>
    <w:rsid w:val="00C04107"/>
    <w:rsid w:val="00C11784"/>
    <w:rsid w:val="00C139F5"/>
    <w:rsid w:val="00C51A90"/>
    <w:rsid w:val="00C8348C"/>
    <w:rsid w:val="00C94272"/>
    <w:rsid w:val="00CA06F1"/>
    <w:rsid w:val="00CA37A8"/>
    <w:rsid w:val="00CA6F0A"/>
    <w:rsid w:val="00CC0E48"/>
    <w:rsid w:val="00CC78BE"/>
    <w:rsid w:val="00CD5353"/>
    <w:rsid w:val="00CD6C38"/>
    <w:rsid w:val="00CE387A"/>
    <w:rsid w:val="00CE4E78"/>
    <w:rsid w:val="00CF4DAC"/>
    <w:rsid w:val="00D02CE4"/>
    <w:rsid w:val="00D10531"/>
    <w:rsid w:val="00D13B22"/>
    <w:rsid w:val="00D36DFE"/>
    <w:rsid w:val="00D4182A"/>
    <w:rsid w:val="00D44204"/>
    <w:rsid w:val="00D63598"/>
    <w:rsid w:val="00D9612E"/>
    <w:rsid w:val="00DA45F8"/>
    <w:rsid w:val="00DB472B"/>
    <w:rsid w:val="00DC6F88"/>
    <w:rsid w:val="00DD4ADB"/>
    <w:rsid w:val="00DF7B14"/>
    <w:rsid w:val="00E0740B"/>
    <w:rsid w:val="00E10A75"/>
    <w:rsid w:val="00E12EB7"/>
    <w:rsid w:val="00E27999"/>
    <w:rsid w:val="00E27A79"/>
    <w:rsid w:val="00E31DD3"/>
    <w:rsid w:val="00E364E5"/>
    <w:rsid w:val="00E54448"/>
    <w:rsid w:val="00E70F8B"/>
    <w:rsid w:val="00E72AC5"/>
    <w:rsid w:val="00E9645B"/>
    <w:rsid w:val="00EA2089"/>
    <w:rsid w:val="00EA3C3A"/>
    <w:rsid w:val="00EA60AB"/>
    <w:rsid w:val="00ED60BD"/>
    <w:rsid w:val="00EE5F33"/>
    <w:rsid w:val="00F07BAA"/>
    <w:rsid w:val="00F1131D"/>
    <w:rsid w:val="00F1352F"/>
    <w:rsid w:val="00F14B18"/>
    <w:rsid w:val="00F27958"/>
    <w:rsid w:val="00F33A87"/>
    <w:rsid w:val="00F355F3"/>
    <w:rsid w:val="00F37619"/>
    <w:rsid w:val="00F4131F"/>
    <w:rsid w:val="00F55423"/>
    <w:rsid w:val="00F7433F"/>
    <w:rsid w:val="00F7720B"/>
    <w:rsid w:val="00F8321D"/>
    <w:rsid w:val="00F84525"/>
    <w:rsid w:val="00F93DF9"/>
    <w:rsid w:val="00FB0648"/>
    <w:rsid w:val="00FB32DE"/>
    <w:rsid w:val="00FD7754"/>
    <w:rsid w:val="00FE59AE"/>
    <w:rsid w:val="00FF7AD0"/>
    <w:rsid w:val="027C2BF1"/>
    <w:rsid w:val="033E62B3"/>
    <w:rsid w:val="0B662B6E"/>
    <w:rsid w:val="0D3F79EF"/>
    <w:rsid w:val="1A810462"/>
    <w:rsid w:val="22592C64"/>
    <w:rsid w:val="26542106"/>
    <w:rsid w:val="26753E11"/>
    <w:rsid w:val="289E6336"/>
    <w:rsid w:val="2B4B0717"/>
    <w:rsid w:val="2BCF3DF1"/>
    <w:rsid w:val="2E853309"/>
    <w:rsid w:val="315F3F1E"/>
    <w:rsid w:val="32733BB2"/>
    <w:rsid w:val="33F958F0"/>
    <w:rsid w:val="3B021DC0"/>
    <w:rsid w:val="3D8941C6"/>
    <w:rsid w:val="493931F8"/>
    <w:rsid w:val="53CD2C39"/>
    <w:rsid w:val="57DB3B82"/>
    <w:rsid w:val="5BB74C9E"/>
    <w:rsid w:val="607C3D37"/>
    <w:rsid w:val="61B74A8F"/>
    <w:rsid w:val="62C222C8"/>
    <w:rsid w:val="62F65F4C"/>
    <w:rsid w:val="653F3176"/>
    <w:rsid w:val="69116DA5"/>
    <w:rsid w:val="6A494FF9"/>
    <w:rsid w:val="71974DE9"/>
    <w:rsid w:val="74024111"/>
    <w:rsid w:val="76F44851"/>
    <w:rsid w:val="7B79394B"/>
    <w:rsid w:val="7D340D7D"/>
    <w:rsid w:val="7F3E4D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line="360" w:lineRule="auto"/>
      <w:outlineLvl w:val="0"/>
    </w:pPr>
    <w:rPr>
      <w:rFonts w:ascii="Times New Roman" w:hAnsi="Times New Roman" w:eastAsia="宋体" w:cs="Times New Roman"/>
      <w:b/>
      <w:bCs/>
      <w:kern w:val="44"/>
      <w:sz w:val="30"/>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uiPriority w:val="99"/>
    <w:rPr>
      <w:color w:val="800080" w:themeColor="followedHyperlink"/>
      <w:u w:val="single"/>
    </w:rPr>
  </w:style>
  <w:style w:type="character" w:styleId="10">
    <w:name w:val="Hyperlink"/>
    <w:basedOn w:val="8"/>
    <w:unhideWhenUsed/>
    <w:uiPriority w:val="99"/>
    <w:rPr>
      <w:color w:val="0000FF"/>
      <w:u w:val="single"/>
    </w:rPr>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页眉 Char"/>
    <w:basedOn w:val="8"/>
    <w:link w:val="5"/>
    <w:uiPriority w:val="99"/>
    <w:rPr>
      <w:sz w:val="18"/>
      <w:szCs w:val="18"/>
    </w:rPr>
  </w:style>
  <w:style w:type="character" w:customStyle="1" w:styleId="13">
    <w:name w:val="页脚 Char"/>
    <w:basedOn w:val="8"/>
    <w:link w:val="4"/>
    <w:uiPriority w:val="99"/>
    <w:rPr>
      <w:sz w:val="18"/>
      <w:szCs w:val="18"/>
    </w:rPr>
  </w:style>
  <w:style w:type="character" w:customStyle="1" w:styleId="14">
    <w:name w:val="批注框文本 Char"/>
    <w:basedOn w:val="8"/>
    <w:link w:val="3"/>
    <w:semiHidden/>
    <w:uiPriority w:val="99"/>
    <w:rPr>
      <w:sz w:val="18"/>
      <w:szCs w:val="18"/>
    </w:rPr>
  </w:style>
  <w:style w:type="character" w:customStyle="1" w:styleId="15">
    <w:name w:val="标题 1 Char"/>
    <w:basedOn w:val="8"/>
    <w:link w:val="2"/>
    <w:uiPriority w:val="0"/>
    <w:rPr>
      <w:rFonts w:ascii="Times New Roman" w:hAnsi="Times New Roman" w:eastAsia="宋体" w:cs="Times New Roman"/>
      <w:b/>
      <w:bCs/>
      <w:kern w:val="44"/>
      <w:sz w:val="30"/>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142</Words>
  <Characters>810</Characters>
  <Lines>6</Lines>
  <Paragraphs>1</Paragraphs>
  <TotalTime>773</TotalTime>
  <ScaleCrop>false</ScaleCrop>
  <LinksUpToDate>false</LinksUpToDate>
  <CharactersWithSpaces>951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2017-02-13T06:49:00Z</dcterms:created>
  <dc:creator>apple</dc:creator>
  <cp:lastModifiedBy>经纬</cp:lastModifiedBy>
  <cp:lastPrinted>2016-05-23T01:17:00Z</cp:lastPrinted>
  <dcterms:modified xsi:type="dcterms:W3CDTF">2021-05-11T11:29:48Z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202372C526834EE7BEDCC9D8C72CC13D</vt:lpwstr>
  </property>
</Properties>
</file>